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F1D6C2" w14:textId="22FEA667" w:rsidR="003732A8" w:rsidRDefault="003732A8" w:rsidP="0098542D">
      <w:pPr>
        <w:pStyle w:val="NormalWeb"/>
        <w:ind w:left="4248" w:firstLine="708"/>
        <w:jc w:val="both"/>
        <w:rPr>
          <w:noProof/>
        </w:rPr>
      </w:pPr>
      <w:r>
        <w:rPr>
          <w:noProof/>
        </w:rPr>
        <w:drawing>
          <wp:inline distT="0" distB="0" distL="0" distR="0" wp14:anchorId="52945228" wp14:editId="4EEE04DA">
            <wp:extent cx="1190625" cy="898556"/>
            <wp:effectExtent l="0" t="0" r="0" b="0"/>
            <wp:docPr id="5" name="Imagen 3" descr="Logotipo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n 3" descr="Logotipo&#10;&#10;El contenido generado por IA puede ser incorrecto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6791" cy="9107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E427D69" wp14:editId="5CFF7310">
            <wp:extent cx="1247775" cy="1354403"/>
            <wp:effectExtent l="0" t="0" r="0" b="0"/>
            <wp:docPr id="2" name="Imagen 1" descr="Logotipo, nombre de la empresa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1" descr="Logotipo, nombre de la empresa&#10;&#10;El contenido generado por IA puede ser incorrecto.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9092" cy="13775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70BDE1" w14:textId="00F84250" w:rsidR="003732A8" w:rsidRDefault="003732A8" w:rsidP="0098542D">
      <w:pPr>
        <w:pStyle w:val="NormalWeb"/>
        <w:jc w:val="both"/>
        <w:rPr>
          <w:noProof/>
        </w:rPr>
      </w:pPr>
      <w:r>
        <w:rPr>
          <w:noProof/>
        </w:rPr>
        <w:t>UNIVERSIDAD PEDAGOGICA NACIONAL</w:t>
      </w:r>
    </w:p>
    <w:p w14:paraId="63422D2B" w14:textId="5E0AE65B" w:rsidR="00182036" w:rsidRDefault="00182036" w:rsidP="0098542D">
      <w:pPr>
        <w:jc w:val="both"/>
        <w:rPr>
          <w:sz w:val="24"/>
          <w:szCs w:val="24"/>
        </w:rPr>
      </w:pPr>
      <w:r>
        <w:rPr>
          <w:sz w:val="24"/>
          <w:szCs w:val="24"/>
        </w:rPr>
        <w:t>TALLER:</w:t>
      </w:r>
    </w:p>
    <w:p w14:paraId="14EE5AD8" w14:textId="7E66379B" w:rsidR="00182036" w:rsidRPr="00182036" w:rsidRDefault="00182036" w:rsidP="0098542D">
      <w:pPr>
        <w:spacing w:after="0"/>
        <w:jc w:val="both"/>
        <w:rPr>
          <w:b/>
          <w:bCs/>
          <w:sz w:val="24"/>
          <w:szCs w:val="24"/>
        </w:rPr>
      </w:pPr>
      <w:r w:rsidRPr="00182036">
        <w:rPr>
          <w:b/>
          <w:bCs/>
          <w:sz w:val="24"/>
          <w:szCs w:val="24"/>
        </w:rPr>
        <w:t xml:space="preserve">METODOLOGÍAS Y TECNICAS PARTICIPATIVAS </w:t>
      </w:r>
    </w:p>
    <w:p w14:paraId="0890BC76" w14:textId="6DB8A547" w:rsidR="00182036" w:rsidRDefault="00182036" w:rsidP="0098542D">
      <w:pPr>
        <w:spacing w:after="0"/>
        <w:jc w:val="both"/>
        <w:rPr>
          <w:b/>
          <w:bCs/>
          <w:sz w:val="24"/>
          <w:szCs w:val="24"/>
        </w:rPr>
      </w:pPr>
      <w:r w:rsidRPr="00182036">
        <w:rPr>
          <w:b/>
          <w:bCs/>
          <w:sz w:val="24"/>
          <w:szCs w:val="24"/>
        </w:rPr>
        <w:t>EN INVESTIGACION Y TRANSFORMACION SOCIAL</w:t>
      </w:r>
    </w:p>
    <w:p w14:paraId="5DF50381" w14:textId="77777777" w:rsidR="00182036" w:rsidRPr="00182036" w:rsidRDefault="00182036" w:rsidP="0098542D">
      <w:pPr>
        <w:spacing w:after="0"/>
        <w:jc w:val="both"/>
        <w:rPr>
          <w:b/>
          <w:bCs/>
          <w:sz w:val="24"/>
          <w:szCs w:val="24"/>
        </w:rPr>
      </w:pPr>
    </w:p>
    <w:p w14:paraId="251D8668" w14:textId="17BA33AE" w:rsidR="00182036" w:rsidRDefault="00182036" w:rsidP="0098542D">
      <w:pPr>
        <w:jc w:val="both"/>
        <w:rPr>
          <w:sz w:val="24"/>
          <w:szCs w:val="24"/>
        </w:rPr>
      </w:pPr>
      <w:r>
        <w:rPr>
          <w:sz w:val="24"/>
          <w:szCs w:val="24"/>
        </w:rPr>
        <w:t>Fecha: junio 6 y 7 de 2025</w:t>
      </w:r>
    </w:p>
    <w:p w14:paraId="5F044FE9" w14:textId="6E335525" w:rsidR="005F33ED" w:rsidRPr="005C4932" w:rsidRDefault="005F33ED" w:rsidP="0098542D">
      <w:pPr>
        <w:jc w:val="both"/>
        <w:rPr>
          <w:b/>
          <w:bCs/>
          <w:sz w:val="24"/>
          <w:szCs w:val="24"/>
          <w:lang w:val="pt-BR"/>
        </w:rPr>
      </w:pPr>
      <w:proofErr w:type="spellStart"/>
      <w:r w:rsidRPr="005C4932">
        <w:rPr>
          <w:b/>
          <w:bCs/>
          <w:sz w:val="24"/>
          <w:szCs w:val="24"/>
          <w:lang w:val="pt-BR"/>
        </w:rPr>
        <w:t>Horario</w:t>
      </w:r>
      <w:r w:rsidR="005C4932">
        <w:rPr>
          <w:b/>
          <w:bCs/>
          <w:sz w:val="24"/>
          <w:szCs w:val="24"/>
          <w:lang w:val="pt-BR"/>
        </w:rPr>
        <w:t>s</w:t>
      </w:r>
      <w:proofErr w:type="spellEnd"/>
      <w:r w:rsidRPr="005C4932">
        <w:rPr>
          <w:b/>
          <w:bCs/>
          <w:sz w:val="24"/>
          <w:szCs w:val="24"/>
          <w:lang w:val="pt-BR"/>
        </w:rPr>
        <w:t>: 9:00 AM a 5:00 PM</w:t>
      </w:r>
    </w:p>
    <w:p w14:paraId="4E154204" w14:textId="3481EF38" w:rsidR="00182036" w:rsidRDefault="00182036" w:rsidP="0098542D">
      <w:pPr>
        <w:jc w:val="both"/>
        <w:rPr>
          <w:sz w:val="24"/>
          <w:szCs w:val="24"/>
          <w:lang w:val="pt-BR"/>
        </w:rPr>
      </w:pPr>
      <w:r w:rsidRPr="004F1F82">
        <w:rPr>
          <w:sz w:val="24"/>
          <w:szCs w:val="24"/>
          <w:lang w:val="pt-BR"/>
        </w:rPr>
        <w:t xml:space="preserve">Aula Paulo Freire </w:t>
      </w:r>
      <w:proofErr w:type="spellStart"/>
      <w:r w:rsidRPr="004F1F82">
        <w:rPr>
          <w:sz w:val="24"/>
          <w:szCs w:val="24"/>
          <w:lang w:val="pt-BR"/>
        </w:rPr>
        <w:t>Universidad</w:t>
      </w:r>
      <w:proofErr w:type="spellEnd"/>
      <w:r w:rsidRPr="004F1F82">
        <w:rPr>
          <w:sz w:val="24"/>
          <w:szCs w:val="24"/>
          <w:lang w:val="pt-BR"/>
        </w:rPr>
        <w:t xml:space="preserve"> Pedagógica Nacional</w:t>
      </w:r>
    </w:p>
    <w:p w14:paraId="0798B2DE" w14:textId="35197562" w:rsidR="005C4932" w:rsidRDefault="005C4932" w:rsidP="0098542D">
      <w:pPr>
        <w:jc w:val="both"/>
        <w:rPr>
          <w:sz w:val="24"/>
          <w:szCs w:val="24"/>
          <w:lang w:val="pt-BR"/>
        </w:rPr>
      </w:pPr>
      <w:proofErr w:type="spellStart"/>
      <w:r>
        <w:rPr>
          <w:sz w:val="24"/>
          <w:szCs w:val="24"/>
          <w:lang w:val="pt-BR"/>
        </w:rPr>
        <w:t>Cupos</w:t>
      </w:r>
      <w:proofErr w:type="spellEnd"/>
      <w:r>
        <w:rPr>
          <w:sz w:val="24"/>
          <w:szCs w:val="24"/>
          <w:lang w:val="pt-BR"/>
        </w:rPr>
        <w:t>: 50</w:t>
      </w:r>
    </w:p>
    <w:p w14:paraId="19F1BCF4" w14:textId="77777777" w:rsidR="004F1F82" w:rsidRPr="004F1F82" w:rsidRDefault="004F1F82" w:rsidP="0098542D">
      <w:pPr>
        <w:jc w:val="both"/>
        <w:rPr>
          <w:sz w:val="24"/>
          <w:szCs w:val="24"/>
          <w:lang w:val="pt-BR"/>
        </w:rPr>
      </w:pPr>
    </w:p>
    <w:p w14:paraId="24DDBE10" w14:textId="4743BF2C" w:rsidR="00182036" w:rsidRPr="004F1F82" w:rsidRDefault="00182036" w:rsidP="0098542D">
      <w:pPr>
        <w:jc w:val="both"/>
        <w:rPr>
          <w:b/>
          <w:bCs/>
          <w:sz w:val="24"/>
          <w:szCs w:val="24"/>
        </w:rPr>
      </w:pPr>
      <w:r w:rsidRPr="004F1F82">
        <w:rPr>
          <w:b/>
          <w:bCs/>
          <w:sz w:val="24"/>
          <w:szCs w:val="24"/>
        </w:rPr>
        <w:t>Orientadores:</w:t>
      </w:r>
    </w:p>
    <w:p w14:paraId="4BFD226C" w14:textId="4B8B00E9" w:rsidR="00182036" w:rsidRPr="004F1F82" w:rsidRDefault="00182036" w:rsidP="0098542D">
      <w:pPr>
        <w:pStyle w:val="Prrafodelista"/>
        <w:numPr>
          <w:ilvl w:val="0"/>
          <w:numId w:val="1"/>
        </w:numPr>
        <w:spacing w:after="0"/>
        <w:jc w:val="both"/>
        <w:rPr>
          <w:sz w:val="24"/>
          <w:szCs w:val="24"/>
        </w:rPr>
      </w:pPr>
      <w:r w:rsidRPr="004F1F82">
        <w:rPr>
          <w:sz w:val="24"/>
          <w:szCs w:val="24"/>
        </w:rPr>
        <w:t>Tomás Rodríguez Villasante. Universidad Complutense de Madrid</w:t>
      </w:r>
      <w:r w:rsidR="00641734" w:rsidRPr="004F1F82">
        <w:rPr>
          <w:sz w:val="24"/>
          <w:szCs w:val="24"/>
        </w:rPr>
        <w:t>, España</w:t>
      </w:r>
    </w:p>
    <w:p w14:paraId="107DDED9" w14:textId="61AF35EA" w:rsidR="00182036" w:rsidRPr="004F1F82" w:rsidRDefault="00182036" w:rsidP="0098542D">
      <w:pPr>
        <w:pStyle w:val="Prrafodelista"/>
        <w:numPr>
          <w:ilvl w:val="0"/>
          <w:numId w:val="1"/>
        </w:numPr>
        <w:spacing w:after="0"/>
        <w:jc w:val="both"/>
        <w:rPr>
          <w:sz w:val="24"/>
          <w:szCs w:val="24"/>
        </w:rPr>
      </w:pPr>
      <w:r w:rsidRPr="004F1F82">
        <w:rPr>
          <w:sz w:val="24"/>
          <w:szCs w:val="24"/>
        </w:rPr>
        <w:t>Mariano Suárez. Universidad de la República, Uruguay</w:t>
      </w:r>
    </w:p>
    <w:p w14:paraId="3189E3EB" w14:textId="50A0ED24" w:rsidR="00182036" w:rsidRPr="004F1F82" w:rsidRDefault="00182036" w:rsidP="0098542D">
      <w:pPr>
        <w:pStyle w:val="Prrafodelista"/>
        <w:numPr>
          <w:ilvl w:val="0"/>
          <w:numId w:val="1"/>
        </w:numPr>
        <w:spacing w:after="0"/>
        <w:jc w:val="both"/>
        <w:rPr>
          <w:sz w:val="24"/>
          <w:szCs w:val="24"/>
        </w:rPr>
      </w:pPr>
      <w:r w:rsidRPr="004F1F82">
        <w:rPr>
          <w:sz w:val="24"/>
          <w:szCs w:val="24"/>
        </w:rPr>
        <w:t>Alfonso Torres Carrillo. Universidad Pedagógica Nacional</w:t>
      </w:r>
    </w:p>
    <w:p w14:paraId="499ED0AD" w14:textId="77777777" w:rsidR="00641734" w:rsidRDefault="00641734" w:rsidP="0098542D">
      <w:pPr>
        <w:spacing w:after="0"/>
        <w:jc w:val="both"/>
        <w:rPr>
          <w:sz w:val="24"/>
          <w:szCs w:val="24"/>
        </w:rPr>
      </w:pPr>
    </w:p>
    <w:p w14:paraId="167D025D" w14:textId="63EB7666" w:rsidR="00182036" w:rsidRPr="00357E51" w:rsidRDefault="00357E51" w:rsidP="0098542D">
      <w:pPr>
        <w:jc w:val="both"/>
        <w:rPr>
          <w:sz w:val="24"/>
          <w:szCs w:val="24"/>
        </w:rPr>
      </w:pPr>
      <w:r w:rsidRPr="00357E51">
        <w:rPr>
          <w:b/>
          <w:bCs/>
          <w:sz w:val="24"/>
          <w:szCs w:val="24"/>
        </w:rPr>
        <w:t>Presentación</w:t>
      </w:r>
    </w:p>
    <w:p w14:paraId="3B54996F" w14:textId="10BED8B4" w:rsidR="005F33ED" w:rsidRDefault="00357E51" w:rsidP="0098542D">
      <w:pPr>
        <w:jc w:val="both"/>
        <w:rPr>
          <w:sz w:val="24"/>
          <w:szCs w:val="24"/>
        </w:rPr>
      </w:pPr>
      <w:r w:rsidRPr="00357E51">
        <w:rPr>
          <w:sz w:val="24"/>
          <w:szCs w:val="24"/>
        </w:rPr>
        <w:t xml:space="preserve">Desde </w:t>
      </w:r>
      <w:r>
        <w:rPr>
          <w:sz w:val="24"/>
          <w:szCs w:val="24"/>
        </w:rPr>
        <w:t>la irrupción de la Investigación Acción Participativa en la década de 1970, han venido posicionándose dentro del campo de las ciencias sociales y del activismo social, un conjunto de metodologías que involucran a poblaciones de base en la producción de conocimiento y de alternativas sobre problemáticas significativas en contextos sociales específicos. Entendidas como procesos de</w:t>
      </w:r>
      <w:r w:rsidR="00641734">
        <w:rPr>
          <w:sz w:val="24"/>
          <w:szCs w:val="24"/>
        </w:rPr>
        <w:t xml:space="preserve"> investigación,</w:t>
      </w:r>
      <w:r>
        <w:rPr>
          <w:sz w:val="24"/>
          <w:szCs w:val="24"/>
        </w:rPr>
        <w:t xml:space="preserve"> intervención y acción colectiva</w:t>
      </w:r>
      <w:r w:rsidR="00641734">
        <w:rPr>
          <w:sz w:val="24"/>
          <w:szCs w:val="24"/>
        </w:rPr>
        <w:t xml:space="preserve"> que desbordan los presupuestos epistemológicos de la investigación convencional, </w:t>
      </w:r>
      <w:r>
        <w:rPr>
          <w:sz w:val="24"/>
          <w:szCs w:val="24"/>
        </w:rPr>
        <w:t>dichas metodologías se han caracterizado por crear y utilizar técnicas que</w:t>
      </w:r>
      <w:r w:rsidR="005F33ED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="005F33ED">
        <w:rPr>
          <w:sz w:val="24"/>
          <w:szCs w:val="24"/>
        </w:rPr>
        <w:t xml:space="preserve">a partir del reconocimiento de los saberes y haceres de los sujetos involucrados, </w:t>
      </w:r>
      <w:r>
        <w:rPr>
          <w:sz w:val="24"/>
          <w:szCs w:val="24"/>
        </w:rPr>
        <w:t>promueven y posibilitan dicha participación</w:t>
      </w:r>
      <w:r w:rsidR="005F33ED">
        <w:rPr>
          <w:sz w:val="24"/>
          <w:szCs w:val="24"/>
        </w:rPr>
        <w:t>.</w:t>
      </w:r>
    </w:p>
    <w:p w14:paraId="795C55BA" w14:textId="56A12650" w:rsidR="00357E51" w:rsidRDefault="005F33ED" w:rsidP="0098542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Es así como se ha venido configurando un repertorio de estrategias y dispositivos tales como las asambleas, </w:t>
      </w:r>
      <w:r w:rsidR="00357E51">
        <w:rPr>
          <w:sz w:val="24"/>
          <w:szCs w:val="24"/>
        </w:rPr>
        <w:t>los talleres</w:t>
      </w:r>
      <w:r>
        <w:rPr>
          <w:sz w:val="24"/>
          <w:szCs w:val="24"/>
        </w:rPr>
        <w:t>, los dispositivos de activación de memoria, el mapeo social, los sociogramas, la cartografía social</w:t>
      </w:r>
      <w:r w:rsidR="00357E51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y las técnicas grupales. Con la creciente </w:t>
      </w:r>
      <w:r>
        <w:rPr>
          <w:sz w:val="24"/>
          <w:szCs w:val="24"/>
        </w:rPr>
        <w:lastRenderedPageBreak/>
        <w:t>presencia de las nuevas tecnologías, algunas de estas técnicas se han “actualizado” y potenciado y son empleadas tanto en las diversas modalidades de investigación participativa como en procesos de movilización y gestión social.</w:t>
      </w:r>
    </w:p>
    <w:p w14:paraId="7D318532" w14:textId="2FD7F7A7" w:rsidR="005F33ED" w:rsidRDefault="005F33ED" w:rsidP="0098542D">
      <w:pPr>
        <w:jc w:val="both"/>
        <w:rPr>
          <w:sz w:val="24"/>
          <w:szCs w:val="24"/>
        </w:rPr>
      </w:pPr>
      <w:r>
        <w:rPr>
          <w:sz w:val="24"/>
          <w:szCs w:val="24"/>
        </w:rPr>
        <w:t>Aprovechando la presencia de algunos representantes de esta desbordante tradición participativa, hemos organizado este taller para retomar contextualizadas y recontextualizadas algunas de estas técnicas de investigación.</w:t>
      </w:r>
    </w:p>
    <w:p w14:paraId="0FA5C7DE" w14:textId="77777777" w:rsidR="00641734" w:rsidRDefault="00641734" w:rsidP="0098542D">
      <w:pPr>
        <w:jc w:val="both"/>
        <w:rPr>
          <w:sz w:val="24"/>
          <w:szCs w:val="24"/>
        </w:rPr>
      </w:pPr>
    </w:p>
    <w:p w14:paraId="61ACE04B" w14:textId="42B6E65F" w:rsidR="005F33ED" w:rsidRPr="005F33ED" w:rsidRDefault="005F33ED" w:rsidP="0098542D">
      <w:pPr>
        <w:jc w:val="both"/>
        <w:rPr>
          <w:b/>
          <w:bCs/>
          <w:sz w:val="24"/>
          <w:szCs w:val="24"/>
        </w:rPr>
      </w:pPr>
      <w:r w:rsidRPr="005F33ED">
        <w:rPr>
          <w:b/>
          <w:bCs/>
          <w:sz w:val="24"/>
          <w:szCs w:val="24"/>
        </w:rPr>
        <w:t>Contenidos</w:t>
      </w:r>
    </w:p>
    <w:p w14:paraId="08B76142" w14:textId="5C3189B1" w:rsidR="00182036" w:rsidRPr="005C4932" w:rsidRDefault="009627A3" w:rsidP="0098542D">
      <w:pPr>
        <w:pStyle w:val="Prrafodelista"/>
        <w:numPr>
          <w:ilvl w:val="0"/>
          <w:numId w:val="3"/>
        </w:numPr>
        <w:jc w:val="both"/>
        <w:rPr>
          <w:sz w:val="24"/>
          <w:szCs w:val="24"/>
        </w:rPr>
      </w:pPr>
      <w:r w:rsidRPr="005C4932">
        <w:rPr>
          <w:sz w:val="24"/>
          <w:szCs w:val="24"/>
        </w:rPr>
        <w:t>La participación</w:t>
      </w:r>
      <w:r w:rsidR="00641734" w:rsidRPr="005C4932">
        <w:rPr>
          <w:sz w:val="24"/>
          <w:szCs w:val="24"/>
        </w:rPr>
        <w:t xml:space="preserve"> en investigación</w:t>
      </w:r>
      <w:r w:rsidRPr="005C4932">
        <w:rPr>
          <w:sz w:val="24"/>
          <w:szCs w:val="24"/>
        </w:rPr>
        <w:t>, una cuestión de poder</w:t>
      </w:r>
      <w:r w:rsidR="00641734" w:rsidRPr="005C4932">
        <w:rPr>
          <w:sz w:val="24"/>
          <w:szCs w:val="24"/>
        </w:rPr>
        <w:t xml:space="preserve"> y saber.</w:t>
      </w:r>
    </w:p>
    <w:p w14:paraId="658570CE" w14:textId="1AE598E9" w:rsidR="009627A3" w:rsidRPr="005C4932" w:rsidRDefault="009627A3" w:rsidP="0098542D">
      <w:pPr>
        <w:pStyle w:val="Prrafodelista"/>
        <w:numPr>
          <w:ilvl w:val="0"/>
          <w:numId w:val="3"/>
        </w:numPr>
        <w:jc w:val="both"/>
        <w:rPr>
          <w:sz w:val="24"/>
          <w:szCs w:val="24"/>
        </w:rPr>
      </w:pPr>
      <w:r w:rsidRPr="005C4932">
        <w:rPr>
          <w:sz w:val="24"/>
          <w:szCs w:val="24"/>
        </w:rPr>
        <w:t>El nacimiento de la IAP y sus técnicas de recuperación crítica y devolución sistemática</w:t>
      </w:r>
    </w:p>
    <w:p w14:paraId="1819C939" w14:textId="423736D3" w:rsidR="009627A3" w:rsidRPr="005C4932" w:rsidRDefault="009627A3" w:rsidP="0098542D">
      <w:pPr>
        <w:pStyle w:val="Prrafodelista"/>
        <w:numPr>
          <w:ilvl w:val="0"/>
          <w:numId w:val="3"/>
        </w:numPr>
        <w:jc w:val="both"/>
        <w:rPr>
          <w:sz w:val="24"/>
          <w:szCs w:val="24"/>
        </w:rPr>
      </w:pPr>
      <w:r w:rsidRPr="005C4932">
        <w:rPr>
          <w:sz w:val="24"/>
          <w:szCs w:val="24"/>
        </w:rPr>
        <w:t>La recuperación colectiva de la historia y sus técnicas: los dispositivos de activación de memoria.</w:t>
      </w:r>
    </w:p>
    <w:p w14:paraId="1C7466C9" w14:textId="15EC916F" w:rsidR="009627A3" w:rsidRPr="005C4932" w:rsidRDefault="009627A3" w:rsidP="0098542D">
      <w:pPr>
        <w:pStyle w:val="Prrafodelista"/>
        <w:numPr>
          <w:ilvl w:val="0"/>
          <w:numId w:val="3"/>
        </w:numPr>
        <w:jc w:val="both"/>
        <w:rPr>
          <w:sz w:val="24"/>
          <w:szCs w:val="24"/>
        </w:rPr>
      </w:pPr>
      <w:r w:rsidRPr="005C4932">
        <w:rPr>
          <w:sz w:val="24"/>
          <w:szCs w:val="24"/>
        </w:rPr>
        <w:t>La sociopraxis y sus técnicas: mapeo de actores, sociogramas, pentalemas…</w:t>
      </w:r>
    </w:p>
    <w:p w14:paraId="5EFC8475" w14:textId="5418A9D5" w:rsidR="009627A3" w:rsidRPr="005C4932" w:rsidRDefault="009627A3" w:rsidP="0098542D">
      <w:pPr>
        <w:pStyle w:val="Prrafodelista"/>
        <w:numPr>
          <w:ilvl w:val="0"/>
          <w:numId w:val="3"/>
        </w:numPr>
        <w:jc w:val="both"/>
        <w:rPr>
          <w:sz w:val="24"/>
          <w:szCs w:val="24"/>
        </w:rPr>
      </w:pPr>
      <w:r w:rsidRPr="005C4932">
        <w:rPr>
          <w:sz w:val="24"/>
          <w:szCs w:val="24"/>
        </w:rPr>
        <w:t>La gestión territorial participativa y el uso de herramientas digitales</w:t>
      </w:r>
    </w:p>
    <w:p w14:paraId="735B57C9" w14:textId="77777777" w:rsidR="00641734" w:rsidRDefault="00641734" w:rsidP="0098542D">
      <w:pPr>
        <w:jc w:val="both"/>
        <w:rPr>
          <w:b/>
          <w:bCs/>
          <w:sz w:val="24"/>
          <w:szCs w:val="24"/>
        </w:rPr>
      </w:pPr>
    </w:p>
    <w:p w14:paraId="70DAEA4E" w14:textId="65F14119" w:rsidR="009627A3" w:rsidRPr="009627A3" w:rsidRDefault="009627A3" w:rsidP="0098542D">
      <w:pPr>
        <w:jc w:val="both"/>
        <w:rPr>
          <w:b/>
          <w:bCs/>
          <w:sz w:val="24"/>
          <w:szCs w:val="24"/>
        </w:rPr>
      </w:pPr>
      <w:r w:rsidRPr="009627A3">
        <w:rPr>
          <w:b/>
          <w:bCs/>
          <w:sz w:val="24"/>
          <w:szCs w:val="24"/>
        </w:rPr>
        <w:t>Metodología</w:t>
      </w:r>
    </w:p>
    <w:p w14:paraId="3D7B6429" w14:textId="7CCD9196" w:rsidR="009627A3" w:rsidRDefault="009627A3" w:rsidP="0098542D">
      <w:pPr>
        <w:jc w:val="both"/>
        <w:rPr>
          <w:sz w:val="24"/>
          <w:szCs w:val="24"/>
        </w:rPr>
      </w:pPr>
      <w:r>
        <w:rPr>
          <w:sz w:val="24"/>
          <w:szCs w:val="24"/>
        </w:rPr>
        <w:t>El taller combinará diferentes estrategias pedagógicas tales como la mesa redonda, las exposiciones de los orientadores, el análisis de casos y la realización de ejercicios prácticos.</w:t>
      </w:r>
    </w:p>
    <w:p w14:paraId="4AA815E6" w14:textId="4A14D751" w:rsidR="00641734" w:rsidRDefault="00641734" w:rsidP="0098542D">
      <w:pPr>
        <w:jc w:val="both"/>
        <w:rPr>
          <w:b/>
          <w:bCs/>
          <w:sz w:val="24"/>
          <w:szCs w:val="24"/>
        </w:rPr>
      </w:pPr>
      <w:r w:rsidRPr="00641734">
        <w:rPr>
          <w:b/>
          <w:bCs/>
          <w:sz w:val="24"/>
          <w:szCs w:val="24"/>
        </w:rPr>
        <w:t>Inscripciones</w:t>
      </w:r>
    </w:p>
    <w:p w14:paraId="1E49A075" w14:textId="301AF6F7" w:rsidR="00641734" w:rsidRDefault="00641734" w:rsidP="0098542D">
      <w:pPr>
        <w:jc w:val="both"/>
        <w:rPr>
          <w:sz w:val="24"/>
          <w:szCs w:val="24"/>
        </w:rPr>
      </w:pPr>
      <w:r w:rsidRPr="00641734">
        <w:rPr>
          <w:sz w:val="24"/>
          <w:szCs w:val="24"/>
        </w:rPr>
        <w:t>(crear formulario Google)</w:t>
      </w:r>
    </w:p>
    <w:p w14:paraId="2603E801" w14:textId="6313D8F8" w:rsidR="004F1F82" w:rsidRPr="004F1F82" w:rsidRDefault="004F1F82" w:rsidP="0098542D">
      <w:pPr>
        <w:pStyle w:val="Prrafodelista"/>
        <w:numPr>
          <w:ilvl w:val="0"/>
          <w:numId w:val="2"/>
        </w:numPr>
        <w:jc w:val="both"/>
        <w:rPr>
          <w:sz w:val="24"/>
          <w:szCs w:val="24"/>
        </w:rPr>
      </w:pPr>
      <w:r w:rsidRPr="004F1F82">
        <w:rPr>
          <w:sz w:val="24"/>
          <w:szCs w:val="24"/>
        </w:rPr>
        <w:t>Solicitud de pieza comunicativa</w:t>
      </w:r>
    </w:p>
    <w:p w14:paraId="033BE198" w14:textId="2C4EBA9B" w:rsidR="004F1F82" w:rsidRDefault="004F1F82" w:rsidP="0098542D">
      <w:pPr>
        <w:pStyle w:val="Prrafodelista"/>
        <w:numPr>
          <w:ilvl w:val="0"/>
          <w:numId w:val="2"/>
        </w:numPr>
        <w:jc w:val="both"/>
        <w:rPr>
          <w:sz w:val="24"/>
          <w:szCs w:val="24"/>
        </w:rPr>
      </w:pPr>
      <w:r w:rsidRPr="004F1F82">
        <w:rPr>
          <w:sz w:val="24"/>
          <w:szCs w:val="24"/>
        </w:rPr>
        <w:t xml:space="preserve">Formulario de Microsoft </w:t>
      </w:r>
    </w:p>
    <w:sectPr w:rsidR="004F1F8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D03C67"/>
    <w:multiLevelType w:val="hybridMultilevel"/>
    <w:tmpl w:val="D97C108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71F43AD"/>
    <w:multiLevelType w:val="hybridMultilevel"/>
    <w:tmpl w:val="00BEDCC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D553A4"/>
    <w:multiLevelType w:val="hybridMultilevel"/>
    <w:tmpl w:val="EEFE442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90687610">
    <w:abstractNumId w:val="1"/>
  </w:num>
  <w:num w:numId="2" w16cid:durableId="1960987165">
    <w:abstractNumId w:val="0"/>
  </w:num>
  <w:num w:numId="3" w16cid:durableId="3481679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2036"/>
    <w:rsid w:val="00182036"/>
    <w:rsid w:val="00241435"/>
    <w:rsid w:val="002643D2"/>
    <w:rsid w:val="00357E51"/>
    <w:rsid w:val="003732A8"/>
    <w:rsid w:val="004F1F82"/>
    <w:rsid w:val="005C4932"/>
    <w:rsid w:val="005F33ED"/>
    <w:rsid w:val="00641734"/>
    <w:rsid w:val="0071463D"/>
    <w:rsid w:val="007503B3"/>
    <w:rsid w:val="00817C2B"/>
    <w:rsid w:val="009627A3"/>
    <w:rsid w:val="0098542D"/>
    <w:rsid w:val="009C3654"/>
    <w:rsid w:val="00B634C0"/>
    <w:rsid w:val="00D036EE"/>
    <w:rsid w:val="00E615BE"/>
    <w:rsid w:val="00EC239C"/>
    <w:rsid w:val="00F07959"/>
    <w:rsid w:val="00FE1A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FAB150"/>
  <w15:chartTrackingRefBased/>
  <w15:docId w15:val="{86A439DC-3FB3-4457-89C5-00F4D5783D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18203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8203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8203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8203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8203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8203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8203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8203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8203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82036"/>
    <w:rPr>
      <w:rFonts w:asciiTheme="majorHAnsi" w:eastAsiaTheme="majorEastAsia" w:hAnsiTheme="majorHAnsi" w:cstheme="majorBidi"/>
      <w:color w:val="0F4761" w:themeColor="accent1" w:themeShade="BF"/>
      <w:sz w:val="40"/>
      <w:szCs w:val="40"/>
      <w:lang w:val="es-MX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82036"/>
    <w:rPr>
      <w:rFonts w:asciiTheme="majorHAnsi" w:eastAsiaTheme="majorEastAsia" w:hAnsiTheme="majorHAnsi" w:cstheme="majorBidi"/>
      <w:color w:val="0F4761" w:themeColor="accent1" w:themeShade="BF"/>
      <w:sz w:val="32"/>
      <w:szCs w:val="32"/>
      <w:lang w:val="es-MX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82036"/>
    <w:rPr>
      <w:rFonts w:eastAsiaTheme="majorEastAsia" w:cstheme="majorBidi"/>
      <w:color w:val="0F4761" w:themeColor="accent1" w:themeShade="BF"/>
      <w:sz w:val="28"/>
      <w:szCs w:val="28"/>
      <w:lang w:val="es-MX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82036"/>
    <w:rPr>
      <w:rFonts w:eastAsiaTheme="majorEastAsia" w:cstheme="majorBidi"/>
      <w:i/>
      <w:iCs/>
      <w:color w:val="0F4761" w:themeColor="accent1" w:themeShade="BF"/>
      <w:lang w:val="es-MX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82036"/>
    <w:rPr>
      <w:rFonts w:eastAsiaTheme="majorEastAsia" w:cstheme="majorBidi"/>
      <w:color w:val="0F4761" w:themeColor="accent1" w:themeShade="BF"/>
      <w:lang w:val="es-MX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82036"/>
    <w:rPr>
      <w:rFonts w:eastAsiaTheme="majorEastAsia" w:cstheme="majorBidi"/>
      <w:i/>
      <w:iCs/>
      <w:color w:val="595959" w:themeColor="text1" w:themeTint="A6"/>
      <w:lang w:val="es-MX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82036"/>
    <w:rPr>
      <w:rFonts w:eastAsiaTheme="majorEastAsia" w:cstheme="majorBidi"/>
      <w:color w:val="595959" w:themeColor="text1" w:themeTint="A6"/>
      <w:lang w:val="es-MX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82036"/>
    <w:rPr>
      <w:rFonts w:eastAsiaTheme="majorEastAsia" w:cstheme="majorBidi"/>
      <w:i/>
      <w:iCs/>
      <w:color w:val="272727" w:themeColor="text1" w:themeTint="D8"/>
      <w:lang w:val="es-MX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82036"/>
    <w:rPr>
      <w:rFonts w:eastAsiaTheme="majorEastAsia" w:cstheme="majorBidi"/>
      <w:color w:val="272727" w:themeColor="text1" w:themeTint="D8"/>
      <w:lang w:val="es-MX"/>
    </w:rPr>
  </w:style>
  <w:style w:type="paragraph" w:styleId="Ttulo">
    <w:name w:val="Title"/>
    <w:basedOn w:val="Normal"/>
    <w:next w:val="Normal"/>
    <w:link w:val="TtuloCar"/>
    <w:uiPriority w:val="10"/>
    <w:qFormat/>
    <w:rsid w:val="0018203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82036"/>
    <w:rPr>
      <w:rFonts w:asciiTheme="majorHAnsi" w:eastAsiaTheme="majorEastAsia" w:hAnsiTheme="majorHAnsi" w:cstheme="majorBidi"/>
      <w:spacing w:val="-10"/>
      <w:kern w:val="28"/>
      <w:sz w:val="56"/>
      <w:szCs w:val="56"/>
      <w:lang w:val="es-MX"/>
    </w:rPr>
  </w:style>
  <w:style w:type="paragraph" w:styleId="Subttulo">
    <w:name w:val="Subtitle"/>
    <w:basedOn w:val="Normal"/>
    <w:next w:val="Normal"/>
    <w:link w:val="SubttuloCar"/>
    <w:uiPriority w:val="11"/>
    <w:qFormat/>
    <w:rsid w:val="0018203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82036"/>
    <w:rPr>
      <w:rFonts w:eastAsiaTheme="majorEastAsia" w:cstheme="majorBidi"/>
      <w:color w:val="595959" w:themeColor="text1" w:themeTint="A6"/>
      <w:spacing w:val="15"/>
      <w:sz w:val="28"/>
      <w:szCs w:val="28"/>
      <w:lang w:val="es-MX"/>
    </w:rPr>
  </w:style>
  <w:style w:type="paragraph" w:styleId="Cita">
    <w:name w:val="Quote"/>
    <w:basedOn w:val="Normal"/>
    <w:next w:val="Normal"/>
    <w:link w:val="CitaCar"/>
    <w:uiPriority w:val="29"/>
    <w:qFormat/>
    <w:rsid w:val="0018203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82036"/>
    <w:rPr>
      <w:i/>
      <w:iCs/>
      <w:color w:val="404040" w:themeColor="text1" w:themeTint="BF"/>
      <w:lang w:val="es-MX"/>
    </w:rPr>
  </w:style>
  <w:style w:type="paragraph" w:styleId="Prrafodelista">
    <w:name w:val="List Paragraph"/>
    <w:basedOn w:val="Normal"/>
    <w:uiPriority w:val="34"/>
    <w:qFormat/>
    <w:rsid w:val="00182036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82036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8203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82036"/>
    <w:rPr>
      <w:i/>
      <w:iCs/>
      <w:color w:val="0F4761" w:themeColor="accent1" w:themeShade="BF"/>
      <w:lang w:val="es-MX"/>
    </w:rPr>
  </w:style>
  <w:style w:type="character" w:styleId="Referenciaintensa">
    <w:name w:val="Intense Reference"/>
    <w:basedOn w:val="Fuentedeprrafopredeter"/>
    <w:uiPriority w:val="32"/>
    <w:qFormat/>
    <w:rsid w:val="00182036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unhideWhenUsed/>
    <w:rsid w:val="003732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s-CO" w:eastAsia="es-C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0932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34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398</Words>
  <Characters>2189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ALFONSO TORRES CARRILLO</dc:creator>
  <cp:keywords/>
  <dc:description/>
  <cp:lastModifiedBy>NAYIBE ELIANA ECHEVERRIA APONTE</cp:lastModifiedBy>
  <cp:revision>2</cp:revision>
  <dcterms:created xsi:type="dcterms:W3CDTF">2025-05-05T12:48:00Z</dcterms:created>
  <dcterms:modified xsi:type="dcterms:W3CDTF">2025-05-05T12:48:00Z</dcterms:modified>
</cp:coreProperties>
</file>